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5A42" w14:textId="40B18997" w:rsidR="00B257AE" w:rsidRPr="00A046F5" w:rsidRDefault="005C08D9" w:rsidP="00B257AE">
      <w:pPr>
        <w:jc w:val="center"/>
        <w:rPr>
          <w:rFonts w:ascii="Arial" w:hAnsi="Arial" w:cs="Arial"/>
          <w:b/>
          <w:sz w:val="24"/>
          <w:szCs w:val="24"/>
        </w:rPr>
      </w:pPr>
      <w:r w:rsidRPr="00A046F5">
        <w:rPr>
          <w:rFonts w:ascii="Arial" w:hAnsi="Arial" w:cs="Arial"/>
          <w:b/>
          <w:sz w:val="24"/>
          <w:szCs w:val="24"/>
        </w:rPr>
        <w:t>Riesgos r</w:t>
      </w:r>
      <w:r>
        <w:rPr>
          <w:rFonts w:ascii="Arial" w:hAnsi="Arial" w:cs="Arial"/>
          <w:b/>
          <w:sz w:val="24"/>
          <w:szCs w:val="24"/>
        </w:rPr>
        <w:t>elevantes para el ejercicio 202</w:t>
      </w:r>
      <w:r w:rsidR="00B257AE">
        <w:rPr>
          <w:rFonts w:ascii="Arial" w:hAnsi="Arial" w:cs="Arial"/>
          <w:b/>
          <w:sz w:val="24"/>
          <w:szCs w:val="24"/>
        </w:rPr>
        <w:t>3</w:t>
      </w:r>
    </w:p>
    <w:p w14:paraId="3CA092B6" w14:textId="6D4E55F0" w:rsidR="00835317" w:rsidRDefault="005C08D9" w:rsidP="008E3C92">
      <w:pPr>
        <w:jc w:val="center"/>
        <w:rPr>
          <w:rFonts w:ascii="Arial" w:hAnsi="Arial" w:cs="Arial"/>
          <w:b/>
          <w:sz w:val="24"/>
          <w:szCs w:val="24"/>
        </w:rPr>
      </w:pPr>
      <w:r w:rsidRPr="00A046F5">
        <w:rPr>
          <w:rFonts w:ascii="Arial" w:hAnsi="Arial" w:cs="Arial"/>
          <w:b/>
          <w:sz w:val="24"/>
          <w:szCs w:val="24"/>
        </w:rPr>
        <w:t xml:space="preserve">Municipio de </w:t>
      </w:r>
      <w:r w:rsidR="000D08FF">
        <w:rPr>
          <w:rFonts w:ascii="Arial" w:hAnsi="Arial" w:cs="Arial"/>
          <w:b/>
          <w:sz w:val="24"/>
          <w:szCs w:val="24"/>
        </w:rPr>
        <w:t>Guadalcázar</w:t>
      </w:r>
      <w:r w:rsidRPr="00A046F5">
        <w:rPr>
          <w:rFonts w:ascii="Arial" w:hAnsi="Arial" w:cs="Arial"/>
          <w:b/>
          <w:sz w:val="24"/>
          <w:szCs w:val="24"/>
        </w:rPr>
        <w:t>, S.L.P.</w:t>
      </w:r>
    </w:p>
    <w:p w14:paraId="46D0DA39" w14:textId="3B412635" w:rsidR="00835317" w:rsidRPr="00835317" w:rsidRDefault="00835317" w:rsidP="00835317">
      <w:pPr>
        <w:spacing w:after="0" w:line="240" w:lineRule="auto"/>
        <w:ind w:right="-36"/>
        <w:jc w:val="both"/>
        <w:rPr>
          <w:rFonts w:ascii="Arial" w:eastAsia="Times New Roman" w:hAnsi="Arial" w:cs="Arial"/>
          <w:b/>
          <w:bCs/>
          <w:sz w:val="18"/>
          <w:szCs w:val="18"/>
          <w:lang w:val="es-ES" w:eastAsia="es-ES"/>
        </w:rPr>
      </w:pPr>
      <w:r w:rsidRPr="00835317">
        <w:rPr>
          <w:rFonts w:ascii="Arial" w:eastAsia="Times New Roman" w:hAnsi="Arial" w:cs="Arial"/>
          <w:b/>
          <w:bCs/>
          <w:sz w:val="18"/>
          <w:szCs w:val="18"/>
          <w:lang w:val="es-ES" w:eastAsia="es-ES"/>
        </w:rPr>
        <w:t>Para 202</w:t>
      </w:r>
      <w:r w:rsidR="00B257AE">
        <w:rPr>
          <w:rFonts w:ascii="Arial" w:eastAsia="Times New Roman" w:hAnsi="Arial" w:cs="Arial"/>
          <w:b/>
          <w:bCs/>
          <w:sz w:val="18"/>
          <w:szCs w:val="18"/>
          <w:lang w:val="es-ES" w:eastAsia="es-ES"/>
        </w:rPr>
        <w:t>3</w:t>
      </w:r>
      <w:r w:rsidRPr="00835317">
        <w:rPr>
          <w:rFonts w:ascii="Arial" w:eastAsia="Times New Roman" w:hAnsi="Arial" w:cs="Arial"/>
          <w:b/>
          <w:bCs/>
          <w:sz w:val="18"/>
          <w:szCs w:val="18"/>
          <w:lang w:val="es-ES" w:eastAsia="es-ES"/>
        </w:rPr>
        <w:t>, los CGPE-</w:t>
      </w:r>
      <w:r w:rsidR="00B257AE">
        <w:rPr>
          <w:rFonts w:ascii="Arial" w:eastAsia="Times New Roman" w:hAnsi="Arial" w:cs="Arial"/>
          <w:b/>
          <w:bCs/>
          <w:sz w:val="18"/>
          <w:szCs w:val="18"/>
          <w:lang w:val="es-ES" w:eastAsia="es-ES"/>
        </w:rPr>
        <w:t>3</w:t>
      </w:r>
      <w:r w:rsidR="0066773B">
        <w:rPr>
          <w:rFonts w:ascii="Arial" w:eastAsia="Times New Roman" w:hAnsi="Arial" w:cs="Arial"/>
          <w:b/>
          <w:bCs/>
          <w:sz w:val="18"/>
          <w:szCs w:val="18"/>
          <w:lang w:val="es-ES" w:eastAsia="es-ES"/>
        </w:rPr>
        <w:t>2</w:t>
      </w:r>
      <w:r w:rsidRPr="00835317">
        <w:rPr>
          <w:rFonts w:ascii="Arial" w:eastAsia="Times New Roman" w:hAnsi="Arial" w:cs="Arial"/>
          <w:b/>
          <w:bCs/>
          <w:sz w:val="18"/>
          <w:szCs w:val="18"/>
          <w:lang w:val="es-ES" w:eastAsia="es-ES"/>
        </w:rPr>
        <w:t xml:space="preserve"> resaltan los siguientes: </w:t>
      </w:r>
    </w:p>
    <w:p w14:paraId="55509C64" w14:textId="12AE8279" w:rsidR="00835317" w:rsidRDefault="00835317" w:rsidP="00835317">
      <w:pPr>
        <w:spacing w:after="0" w:line="240" w:lineRule="auto"/>
        <w:ind w:right="-36"/>
        <w:jc w:val="both"/>
        <w:rPr>
          <w:rFonts w:ascii="Arial" w:eastAsia="Times New Roman" w:hAnsi="Arial" w:cs="Arial"/>
          <w:sz w:val="18"/>
          <w:szCs w:val="18"/>
          <w:lang w:val="es-ES" w:eastAsia="es-ES"/>
        </w:rPr>
      </w:pPr>
    </w:p>
    <w:p w14:paraId="11D4094B" w14:textId="77777777" w:rsidR="00E84D18" w:rsidRPr="00E84D18" w:rsidRDefault="00E84D18" w:rsidP="00E84D18">
      <w:pPr>
        <w:spacing w:after="0" w:line="240" w:lineRule="auto"/>
        <w:ind w:right="-36"/>
        <w:jc w:val="both"/>
        <w:rPr>
          <w:rFonts w:ascii="Arial" w:eastAsia="Times New Roman" w:hAnsi="Arial" w:cs="Arial"/>
          <w:sz w:val="18"/>
          <w:szCs w:val="18"/>
          <w:lang w:val="es-ES" w:eastAsia="es-ES"/>
        </w:rPr>
      </w:pPr>
    </w:p>
    <w:p w14:paraId="0E754516" w14:textId="77777777" w:rsidR="00E84D18" w:rsidRPr="00E84D18" w:rsidRDefault="00E84D18" w:rsidP="00E84D18">
      <w:pPr>
        <w:spacing w:after="0" w:line="240" w:lineRule="auto"/>
        <w:ind w:right="-36"/>
        <w:jc w:val="both"/>
        <w:rPr>
          <w:rFonts w:ascii="Arial" w:eastAsia="Times New Roman" w:hAnsi="Arial" w:cs="Arial"/>
          <w:sz w:val="18"/>
          <w:szCs w:val="18"/>
          <w:lang w:val="es-ES" w:eastAsia="es-ES"/>
        </w:rPr>
      </w:pPr>
      <w:r w:rsidRPr="00E84D18">
        <w:rPr>
          <w:rFonts w:ascii="Arial" w:eastAsia="Times New Roman" w:hAnsi="Arial" w:cs="Arial"/>
          <w:sz w:val="18"/>
          <w:szCs w:val="18"/>
          <w:lang w:val="es-ES" w:eastAsia="es-ES"/>
        </w:rPr>
        <w:t>Para 2023 se estima que la economía mexicana tendrá un crecimiento en el rango de 1.2 a 3.0% anual. El desempeño positivo estará sustentado, principalmente, en el impacto de las políticas públicas instrumentadas desde el inicio de la presente administración, las cuales están encaminadas en robustecer el mercado laboral, reforzar la red de protección social e impulsar la inversión pública en infraestructura. Se prevé que aumente la inversión y el consumo privados los cuales continuarán siendo beneficiado por los flujos de remesas, inversión extranjera directa, así como por la generación de empleos, los programas de bienestar y las reformas laborales encaminadas a mejorar las condiciones de los trabajadores. De esta manera, el crecimiento de la actividad económica estará acompañado de una mejor distribución de la riqueza y del ingreso, condiciones necesarias para un desarrollo económico del país con equidad.</w:t>
      </w:r>
    </w:p>
    <w:p w14:paraId="43E8115E" w14:textId="77777777" w:rsidR="00E84D18" w:rsidRPr="00E84D18" w:rsidRDefault="00E84D18" w:rsidP="00E84D18">
      <w:pPr>
        <w:spacing w:after="0" w:line="240" w:lineRule="auto"/>
        <w:ind w:right="-36"/>
        <w:jc w:val="both"/>
        <w:rPr>
          <w:rFonts w:ascii="Arial" w:eastAsia="Times New Roman" w:hAnsi="Arial" w:cs="Arial"/>
          <w:sz w:val="18"/>
          <w:szCs w:val="18"/>
          <w:lang w:val="es-ES" w:eastAsia="es-ES"/>
        </w:rPr>
      </w:pPr>
    </w:p>
    <w:p w14:paraId="38EF1BB7" w14:textId="77777777" w:rsidR="00E84D18" w:rsidRPr="00E84D18" w:rsidRDefault="00E84D18" w:rsidP="00E84D18">
      <w:pPr>
        <w:spacing w:after="0" w:line="240" w:lineRule="auto"/>
        <w:ind w:right="-36"/>
        <w:jc w:val="both"/>
        <w:rPr>
          <w:rFonts w:ascii="Arial" w:eastAsia="Times New Roman" w:hAnsi="Arial" w:cs="Arial"/>
          <w:sz w:val="18"/>
          <w:szCs w:val="18"/>
          <w:lang w:val="es-ES" w:eastAsia="es-ES"/>
        </w:rPr>
      </w:pPr>
      <w:r w:rsidRPr="00E84D18">
        <w:rPr>
          <w:rFonts w:ascii="Arial" w:eastAsia="Times New Roman" w:hAnsi="Arial" w:cs="Arial"/>
          <w:sz w:val="18"/>
          <w:szCs w:val="18"/>
          <w:lang w:val="es-ES" w:eastAsia="es-ES"/>
        </w:rPr>
        <w:t>Para 2023, los CGPE-23 resaltan los siguientes factores que inciden a la baja en la dinámica económica: • La profundización de los riesgos geopolíticos que generen menores perspectivas de crecimiento en los flujos de capitales, el comercio y la economía a nivel mundial. • Un menor dinamismo de la actividad económica global, producto de las posturas monetarias restrictivas de los bancos centrales y de los elevados niveles de inflación. • La persistencia de la inflación y el desabasto de alimentos, que provoquen tensiones políticas y/o sociales en el mundo. • El incremento en la producción de petróleo; así como la continuación de las políticas de liberación de reservas estratégicas de petróleo por parte de los países de la Agencia Internacional de Energía, que podrían reducir los precios internacionales. Además, el escenario macroeconómico de mediano plazo está sujeto a lo siguiente: • Condiciones más restrictivas en los mercados financieros internacionales por los procesos de normalización de las economías avanzadas que afecten la inversión a nivel global. • La posibilidad de impago de la deuda de algunas economías, producto de las altas tasas de interés en el mundo. • Una mayor desaceleración de la economía China, que disminuya su demanda de materias primas.</w:t>
      </w:r>
    </w:p>
    <w:p w14:paraId="480709C8" w14:textId="77777777" w:rsidR="00E84D18" w:rsidRPr="00E84D18" w:rsidRDefault="00E84D18" w:rsidP="00E84D18">
      <w:pPr>
        <w:spacing w:after="0" w:line="240" w:lineRule="auto"/>
        <w:ind w:right="-36"/>
        <w:jc w:val="both"/>
        <w:rPr>
          <w:rFonts w:ascii="Arial" w:eastAsia="Times New Roman" w:hAnsi="Arial" w:cs="Arial"/>
          <w:sz w:val="18"/>
          <w:szCs w:val="18"/>
          <w:lang w:val="es-ES" w:eastAsia="es-ES"/>
        </w:rPr>
      </w:pPr>
    </w:p>
    <w:p w14:paraId="231F8710" w14:textId="510F1060" w:rsidR="00E84D18" w:rsidRDefault="00E84D18" w:rsidP="00E84D18">
      <w:pPr>
        <w:spacing w:after="0" w:line="240" w:lineRule="auto"/>
        <w:ind w:right="-36"/>
        <w:jc w:val="both"/>
        <w:rPr>
          <w:rFonts w:ascii="Arial" w:eastAsia="Times New Roman" w:hAnsi="Arial" w:cs="Arial"/>
          <w:sz w:val="18"/>
          <w:szCs w:val="18"/>
          <w:lang w:val="es-ES" w:eastAsia="es-ES"/>
        </w:rPr>
      </w:pPr>
      <w:r w:rsidRPr="00E84D18">
        <w:rPr>
          <w:rFonts w:ascii="Arial" w:eastAsia="Times New Roman" w:hAnsi="Arial" w:cs="Arial"/>
          <w:sz w:val="18"/>
          <w:szCs w:val="18"/>
          <w:lang w:val="es-ES" w:eastAsia="es-ES"/>
        </w:rPr>
        <w:t>Por tanto, se prevé:</w:t>
      </w:r>
    </w:p>
    <w:p w14:paraId="4253F792" w14:textId="77777777" w:rsidR="00E84D18" w:rsidRDefault="00E84D18" w:rsidP="00835317">
      <w:pPr>
        <w:spacing w:after="0" w:line="240" w:lineRule="auto"/>
        <w:ind w:right="-36"/>
        <w:jc w:val="both"/>
        <w:rPr>
          <w:rFonts w:ascii="Arial" w:eastAsia="Times New Roman" w:hAnsi="Arial" w:cs="Arial"/>
          <w:sz w:val="18"/>
          <w:szCs w:val="18"/>
          <w:lang w:val="es-ES" w:eastAsia="es-ES"/>
        </w:rPr>
      </w:pPr>
    </w:p>
    <w:p w14:paraId="76432657" w14:textId="77777777" w:rsidR="00E84D18" w:rsidRDefault="00E84D18" w:rsidP="00835317">
      <w:pPr>
        <w:spacing w:after="0" w:line="240" w:lineRule="auto"/>
        <w:ind w:right="-36"/>
        <w:jc w:val="both"/>
        <w:rPr>
          <w:rFonts w:ascii="Arial" w:eastAsia="Times New Roman" w:hAnsi="Arial" w:cs="Arial"/>
          <w:sz w:val="18"/>
          <w:szCs w:val="18"/>
          <w:lang w:val="es-ES" w:eastAsia="es-ES"/>
        </w:rPr>
      </w:pPr>
    </w:p>
    <w:p w14:paraId="3C44EC91" w14:textId="7EA84707" w:rsidR="00835317" w:rsidRPr="003B2216" w:rsidRDefault="00835317" w:rsidP="003B2216">
      <w:pPr>
        <w:spacing w:after="0" w:line="240" w:lineRule="auto"/>
        <w:ind w:right="-36"/>
        <w:jc w:val="both"/>
        <w:rPr>
          <w:rFonts w:ascii="Arial" w:eastAsia="Times New Roman" w:hAnsi="Arial" w:cs="Arial"/>
          <w:sz w:val="18"/>
          <w:szCs w:val="18"/>
          <w:lang w:val="es-ES" w:eastAsia="es-ES"/>
        </w:rPr>
      </w:pPr>
    </w:p>
    <w:p w14:paraId="4037CC8C" w14:textId="77777777" w:rsidR="003B2216" w:rsidRPr="003B2216" w:rsidRDefault="003B2216" w:rsidP="003B2216">
      <w:pPr>
        <w:spacing w:after="0" w:line="240" w:lineRule="auto"/>
        <w:ind w:right="-36"/>
        <w:jc w:val="both"/>
        <w:rPr>
          <w:rFonts w:ascii="Arial" w:eastAsia="Times New Roman" w:hAnsi="Arial" w:cs="Arial"/>
          <w:sz w:val="18"/>
          <w:szCs w:val="18"/>
          <w:highlight w:val="yellow"/>
          <w:lang w:val="es-ES" w:eastAsia="es-ES"/>
        </w:rPr>
      </w:pPr>
    </w:p>
    <w:tbl>
      <w:tblPr>
        <w:tblStyle w:val="Tablaconcuadrcula"/>
        <w:tblW w:w="0" w:type="auto"/>
        <w:tblLook w:val="04A0" w:firstRow="1" w:lastRow="0" w:firstColumn="1" w:lastColumn="0" w:noHBand="0" w:noVBand="1"/>
      </w:tblPr>
      <w:tblGrid>
        <w:gridCol w:w="4219"/>
        <w:gridCol w:w="4253"/>
      </w:tblGrid>
      <w:tr w:rsidR="00A046F5" w:rsidRPr="00A046F5" w14:paraId="208173CC" w14:textId="77777777" w:rsidTr="004D2375">
        <w:tc>
          <w:tcPr>
            <w:tcW w:w="4219" w:type="dxa"/>
          </w:tcPr>
          <w:p w14:paraId="40A1E898" w14:textId="77777777" w:rsidR="00A046F5" w:rsidRPr="00A046F5" w:rsidRDefault="005C08D9" w:rsidP="004D2375">
            <w:pPr>
              <w:jc w:val="center"/>
              <w:rPr>
                <w:rFonts w:ascii="Arial" w:hAnsi="Arial" w:cs="Arial"/>
                <w:sz w:val="24"/>
                <w:szCs w:val="24"/>
              </w:rPr>
            </w:pPr>
            <w:r w:rsidRPr="00A046F5">
              <w:rPr>
                <w:rFonts w:ascii="Arial" w:hAnsi="Arial" w:cs="Arial"/>
                <w:b/>
                <w:sz w:val="24"/>
                <w:szCs w:val="24"/>
              </w:rPr>
              <w:t>Riesgos relevantes</w:t>
            </w:r>
          </w:p>
        </w:tc>
        <w:tc>
          <w:tcPr>
            <w:tcW w:w="4253" w:type="dxa"/>
          </w:tcPr>
          <w:p w14:paraId="1E64EA69" w14:textId="77777777" w:rsidR="00A046F5" w:rsidRPr="00A046F5" w:rsidRDefault="005C08D9" w:rsidP="004D2375">
            <w:pPr>
              <w:jc w:val="center"/>
              <w:rPr>
                <w:rFonts w:ascii="Arial" w:hAnsi="Arial" w:cs="Arial"/>
                <w:sz w:val="24"/>
                <w:szCs w:val="24"/>
              </w:rPr>
            </w:pPr>
            <w:r w:rsidRPr="00A046F5">
              <w:rPr>
                <w:rFonts w:ascii="Arial" w:hAnsi="Arial" w:cs="Arial"/>
                <w:b/>
                <w:sz w:val="24"/>
                <w:szCs w:val="24"/>
              </w:rPr>
              <w:t>Propuestas de acción</w:t>
            </w:r>
          </w:p>
        </w:tc>
      </w:tr>
      <w:tr w:rsidR="00835317" w:rsidRPr="00A046F5" w14:paraId="132AC197" w14:textId="77777777" w:rsidTr="004D2375">
        <w:tc>
          <w:tcPr>
            <w:tcW w:w="4219" w:type="dxa"/>
          </w:tcPr>
          <w:p w14:paraId="21440EAF" w14:textId="37798BF6" w:rsidR="00835317" w:rsidRPr="00A046F5" w:rsidRDefault="00835317" w:rsidP="003B2216">
            <w:pPr>
              <w:rPr>
                <w:rFonts w:ascii="Arial" w:hAnsi="Arial" w:cs="Arial"/>
                <w:sz w:val="24"/>
                <w:szCs w:val="24"/>
              </w:rPr>
            </w:pPr>
            <w:r w:rsidRPr="00B64E91">
              <w:t>Disminución importante de participaciones y aportaciones federales, así como en convenios de reasignación de recursos y de los fondos de estabilización de los ingresos de las entidades federativas y municipios.</w:t>
            </w:r>
          </w:p>
        </w:tc>
        <w:tc>
          <w:tcPr>
            <w:tcW w:w="4253" w:type="dxa"/>
          </w:tcPr>
          <w:p w14:paraId="4AF4248B" w14:textId="166A0185" w:rsidR="00835317" w:rsidRPr="00A046F5" w:rsidRDefault="003B2216" w:rsidP="003B2216">
            <w:pPr>
              <w:rPr>
                <w:rFonts w:ascii="Arial" w:hAnsi="Arial" w:cs="Arial"/>
                <w:sz w:val="24"/>
                <w:szCs w:val="24"/>
              </w:rPr>
            </w:pPr>
            <w:r w:rsidRPr="003B2216">
              <w:t>Simplificación administrativa para el pago de las contribuciones, a través de una mejor atención al contribuyente, mayores facilidades para que realice sus trámites y un mayor número de puntos de pago.</w:t>
            </w:r>
          </w:p>
        </w:tc>
      </w:tr>
      <w:tr w:rsidR="00835317" w:rsidRPr="00A046F5" w14:paraId="78C46119" w14:textId="77777777" w:rsidTr="004D2375">
        <w:tc>
          <w:tcPr>
            <w:tcW w:w="4219" w:type="dxa"/>
          </w:tcPr>
          <w:p w14:paraId="3DE52738" w14:textId="5D38B6F7" w:rsidR="00835317" w:rsidRPr="00835317" w:rsidRDefault="00835317" w:rsidP="003B2216">
            <w:r w:rsidRPr="00B64E91">
              <w:t>Incremento de la cartera vencida del Impuesto Predial y del servicio de dotación de agua potable.</w:t>
            </w:r>
          </w:p>
        </w:tc>
        <w:tc>
          <w:tcPr>
            <w:tcW w:w="4253" w:type="dxa"/>
          </w:tcPr>
          <w:p w14:paraId="1B1E698F" w14:textId="36ED150E" w:rsidR="00835317" w:rsidRPr="00A046F5" w:rsidRDefault="003B2216" w:rsidP="003B2216">
            <w:pPr>
              <w:rPr>
                <w:rFonts w:ascii="Arial" w:hAnsi="Arial" w:cs="Arial"/>
                <w:sz w:val="24"/>
                <w:szCs w:val="24"/>
              </w:rPr>
            </w:pPr>
            <w:r w:rsidRPr="003B2216">
              <w:t>Regularización de los contribuyentes, mediante el uso de cartas invitación y procesos de ejecución.</w:t>
            </w:r>
          </w:p>
        </w:tc>
      </w:tr>
      <w:tr w:rsidR="00835317" w:rsidRPr="00A046F5" w14:paraId="47040BA8" w14:textId="77777777" w:rsidTr="004D2375">
        <w:tc>
          <w:tcPr>
            <w:tcW w:w="4219" w:type="dxa"/>
          </w:tcPr>
          <w:p w14:paraId="20CDE73B" w14:textId="63D01711" w:rsidR="00835317" w:rsidRPr="00835317" w:rsidRDefault="00835317" w:rsidP="003B2216">
            <w:r w:rsidRPr="00B64E91">
              <w:t>Contracción de la economía local.</w:t>
            </w:r>
          </w:p>
        </w:tc>
        <w:tc>
          <w:tcPr>
            <w:tcW w:w="4253" w:type="dxa"/>
          </w:tcPr>
          <w:p w14:paraId="162C92AF" w14:textId="18FF1703" w:rsidR="00835317" w:rsidRPr="00A046F5" w:rsidRDefault="003B2216" w:rsidP="003B2216">
            <w:pPr>
              <w:rPr>
                <w:rFonts w:ascii="Arial" w:hAnsi="Arial" w:cs="Arial"/>
                <w:sz w:val="24"/>
                <w:szCs w:val="24"/>
              </w:rPr>
            </w:pPr>
            <w:r w:rsidRPr="003B2216">
              <w:t>Regularización a través de convenios de pago de las obligaciones tributarias a nuestro cargo</w:t>
            </w:r>
            <w:r w:rsidRPr="003B2216">
              <w:rPr>
                <w:rFonts w:ascii="Arial" w:hAnsi="Arial" w:cs="Arial"/>
                <w:sz w:val="24"/>
                <w:szCs w:val="24"/>
              </w:rPr>
              <w:t xml:space="preserve">  </w:t>
            </w:r>
          </w:p>
        </w:tc>
      </w:tr>
      <w:tr w:rsidR="00835317" w:rsidRPr="00A046F5" w14:paraId="5B7CFDD5" w14:textId="77777777" w:rsidTr="004D2375">
        <w:tc>
          <w:tcPr>
            <w:tcW w:w="4219" w:type="dxa"/>
          </w:tcPr>
          <w:p w14:paraId="4EEAFD97" w14:textId="77777777" w:rsidR="00835317" w:rsidRPr="00835317" w:rsidRDefault="00835317" w:rsidP="003B2216">
            <w:r w:rsidRPr="00835317">
              <w:t>Falta de liquidez para gasto operativo y crecimiento de la deuda con proveedores.</w:t>
            </w:r>
          </w:p>
          <w:p w14:paraId="31842FDE" w14:textId="77777777" w:rsidR="00835317" w:rsidRPr="00B64E91" w:rsidRDefault="00835317" w:rsidP="003B2216"/>
        </w:tc>
        <w:tc>
          <w:tcPr>
            <w:tcW w:w="4253" w:type="dxa"/>
          </w:tcPr>
          <w:p w14:paraId="372D2F51" w14:textId="44A62F29" w:rsidR="00835317" w:rsidRPr="00A046F5" w:rsidRDefault="003B2216" w:rsidP="003B2216">
            <w:pPr>
              <w:rPr>
                <w:rFonts w:ascii="Arial" w:hAnsi="Arial" w:cs="Arial"/>
                <w:sz w:val="24"/>
                <w:szCs w:val="24"/>
              </w:rPr>
            </w:pPr>
            <w:r w:rsidRPr="003B2216">
              <w:t>Contención del gasto, Financiamiento interno, convenios de pago</w:t>
            </w:r>
            <w:r>
              <w:t>.</w:t>
            </w:r>
          </w:p>
        </w:tc>
      </w:tr>
    </w:tbl>
    <w:p w14:paraId="0EACDF04" w14:textId="280F68B7" w:rsidR="004B0421" w:rsidRPr="00A046F5" w:rsidRDefault="004B0421" w:rsidP="00835317">
      <w:pPr>
        <w:rPr>
          <w:rFonts w:ascii="Arial" w:hAnsi="Arial" w:cs="Arial"/>
          <w:sz w:val="24"/>
          <w:szCs w:val="24"/>
        </w:rPr>
      </w:pPr>
    </w:p>
    <w:sectPr w:rsidR="004B0421" w:rsidRPr="00A046F5" w:rsidSect="004B04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03023"/>
    <w:multiLevelType w:val="hybridMultilevel"/>
    <w:tmpl w:val="EF5EA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78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F5"/>
    <w:rsid w:val="000D08FF"/>
    <w:rsid w:val="0013409C"/>
    <w:rsid w:val="00260CA1"/>
    <w:rsid w:val="003B2216"/>
    <w:rsid w:val="004B0421"/>
    <w:rsid w:val="005C08D9"/>
    <w:rsid w:val="0066773B"/>
    <w:rsid w:val="006A6179"/>
    <w:rsid w:val="00835317"/>
    <w:rsid w:val="00850913"/>
    <w:rsid w:val="008E3C92"/>
    <w:rsid w:val="00945939"/>
    <w:rsid w:val="00A046F5"/>
    <w:rsid w:val="00AF238F"/>
    <w:rsid w:val="00B257AE"/>
    <w:rsid w:val="00B7157C"/>
    <w:rsid w:val="00D12C79"/>
    <w:rsid w:val="00D61F31"/>
    <w:rsid w:val="00D752EB"/>
    <w:rsid w:val="00E84D18"/>
    <w:rsid w:val="00FD75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A149"/>
  <w15:docId w15:val="{310C2DB8-B186-4E12-A546-ADFAD1EB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04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Pini Flores</cp:lastModifiedBy>
  <cp:revision>16</cp:revision>
  <dcterms:created xsi:type="dcterms:W3CDTF">2020-10-09T15:02:00Z</dcterms:created>
  <dcterms:modified xsi:type="dcterms:W3CDTF">2023-01-02T06:32:00Z</dcterms:modified>
</cp:coreProperties>
</file>